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054" w:h="661" w:hRule="exact" w:wrap="none" w:vAnchor="page" w:hAnchor="page" w:x="2063" w:y="86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ОБЩЕСТВО С ОГРАНИЧЕННОЙ ОТВЕТСТВЕННОСТЬЮ «АС»</w:t>
      </w:r>
      <w:bookmarkEnd w:id="0"/>
    </w:p>
    <w:p>
      <w:pPr>
        <w:pStyle w:val="Style3"/>
        <w:framePr w:w="8054" w:h="661" w:hRule="exact" w:wrap="none" w:vAnchor="page" w:hAnchor="page" w:x="2063" w:y="868"/>
        <w:widowControl w:val="0"/>
        <w:keepNext w:val="0"/>
        <w:keepLines w:val="0"/>
        <w:shd w:val="clear" w:color="auto" w:fill="auto"/>
        <w:bidi w:val="0"/>
        <w:jc w:val="center"/>
        <w:spacing w:before="0" w:after="0" w:line="280" w:lineRule="exact"/>
        <w:ind w:left="0" w:right="0" w:firstLine="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(ООО «АС»)</w:t>
      </w:r>
      <w:bookmarkEnd w:id="1"/>
    </w:p>
    <w:p>
      <w:pPr>
        <w:pStyle w:val="Style5"/>
        <w:framePr w:w="9754" w:h="620" w:hRule="exact" w:wrap="none" w:vAnchor="page" w:hAnchor="page" w:x="1103" w:y="179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90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УДК: _ Рег.№:</w:t>
      </w:r>
    </w:p>
    <w:p>
      <w:pPr>
        <w:pStyle w:val="Style5"/>
        <w:framePr w:w="9754" w:h="2160" w:hRule="exact" w:wrap="none" w:vAnchor="page" w:hAnchor="page" w:x="1103" w:y="2903"/>
        <w:tabs>
          <w:tab w:leader="none" w:pos="52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  <w:tab/>
        <w:t>УТВЕРЖДАЮ</w:t>
      </w:r>
    </w:p>
    <w:p>
      <w:pPr>
        <w:pStyle w:val="Style5"/>
        <w:framePr w:w="9754" w:h="2160" w:hRule="exact" w:wrap="none" w:vAnchor="page" w:hAnchor="page" w:x="1103" w:y="2903"/>
        <w:tabs>
          <w:tab w:leader="none" w:pos="52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Мини Министерство образования и</w:t>
        <w:tab/>
        <w:t>Генеральный директор ООО «АС»</w:t>
      </w:r>
    </w:p>
    <w:p>
      <w:pPr>
        <w:pStyle w:val="Style5"/>
        <w:framePr w:w="9754" w:h="2160" w:hRule="exact" w:wrap="none" w:vAnchor="page" w:hAnchor="page" w:x="1103" w:y="290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науки Республики Дагестан</w:t>
      </w:r>
    </w:p>
    <w:p>
      <w:pPr>
        <w:pStyle w:val="Style5"/>
        <w:framePr w:w="9754" w:h="2160" w:hRule="exact" w:wrap="none" w:vAnchor="page" w:hAnchor="page" w:x="1103" w:y="2903"/>
        <w:tabs>
          <w:tab w:leader="underscore" w:pos="2425" w:val="left"/>
          <w:tab w:leader="underscore" w:pos="71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42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ab/>
        <w:t xml:space="preserve"> </w:t>
        <w:tab/>
        <w:t>Л.Ю.Соколова</w:t>
      </w:r>
    </w:p>
    <w:p>
      <w:pPr>
        <w:pStyle w:val="Style5"/>
        <w:framePr w:w="9754" w:h="2160" w:hRule="exact" w:wrap="none" w:vAnchor="page" w:hAnchor="page" w:x="1103" w:y="2903"/>
        <w:tabs>
          <w:tab w:leader="underscore" w:pos="620" w:val="left"/>
          <w:tab w:leader="underscore" w:pos="2718" w:val="left"/>
          <w:tab w:leader="none" w:pos="5212" w:val="left"/>
          <w:tab w:leader="underscore" w:pos="5722" w:val="left"/>
          <w:tab w:leader="underscore" w:pos="782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42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</w:t>
        <w:tab/>
        <w:t>»</w:t>
        <w:tab/>
        <w:t>2024 г.</w:t>
        <w:tab/>
        <w:t>«</w:t>
        <w:tab/>
        <w:t>»</w:t>
        <w:tab/>
        <w:t>2024 г.</w:t>
      </w:r>
    </w:p>
    <w:p>
      <w:pPr>
        <w:pStyle w:val="Style5"/>
        <w:framePr w:w="9754" w:h="2160" w:hRule="exact" w:wrap="none" w:vAnchor="page" w:hAnchor="page" w:x="1103" w:y="2903"/>
        <w:tabs>
          <w:tab w:leader="none" w:pos="52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42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МП.</w:t>
        <w:tab/>
        <w:t>МП.</w:t>
      </w:r>
    </w:p>
    <w:p>
      <w:pPr>
        <w:pStyle w:val="Style5"/>
        <w:framePr w:w="9754" w:h="1435" w:hRule="exact" w:wrap="none" w:vAnchor="page" w:hAnchor="page" w:x="1103" w:y="5610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ОТЧЁТ</w:t>
      </w:r>
    </w:p>
    <w:p>
      <w:pPr>
        <w:pStyle w:val="Style5"/>
        <w:framePr w:w="9754" w:h="1435" w:hRule="exact" w:wrap="none" w:vAnchor="page" w:hAnchor="page" w:x="1103" w:y="5610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сбора, обобщения и анализа информации о качестве условий осуществления</w:t>
        <w:br/>
        <w:t>образовательной деятельности организациями, осуществляющими образовательную</w:t>
        <w:br/>
        <w:t>деятельность на территории Республики Дагестан</w:t>
      </w:r>
    </w:p>
    <w:p>
      <w:pPr>
        <w:pStyle w:val="Style5"/>
        <w:framePr w:w="9754" w:h="1435" w:hRule="exact" w:wrap="none" w:vAnchor="page" w:hAnchor="page" w:x="1103" w:y="5610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(ТОМ3)</w:t>
      </w:r>
    </w:p>
    <w:p>
      <w:pPr>
        <w:pStyle w:val="Style5"/>
        <w:framePr w:w="9754" w:h="1162" w:hRule="exact" w:wrap="none" w:vAnchor="page" w:hAnchor="page" w:x="1103" w:y="7316"/>
        <w:widowControl w:val="0"/>
        <w:keepNext w:val="0"/>
        <w:keepLines w:val="0"/>
        <w:shd w:val="clear" w:color="auto" w:fill="auto"/>
        <w:bidi w:val="0"/>
        <w:jc w:val="left"/>
        <w:spacing w:before="0" w:after="0" w:line="552" w:lineRule="exact"/>
        <w:ind w:left="4200" w:right="18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Государственный контракт № </w:t>
      </w:r>
      <w:r>
        <w:rPr>
          <w:rStyle w:val="CharStyle7"/>
        </w:rPr>
        <w:t xml:space="preserve">0103200008424000375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от 11.03.2024 г.</w:t>
      </w:r>
    </w:p>
    <w:p>
      <w:pPr>
        <w:pStyle w:val="Style5"/>
        <w:framePr w:wrap="none" w:vAnchor="page" w:hAnchor="page" w:x="1103" w:y="9046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140" w:right="8175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</w:t>
      </w:r>
    </w:p>
    <w:p>
      <w:pPr>
        <w:pStyle w:val="Style5"/>
        <w:framePr w:wrap="none" w:vAnchor="page" w:hAnchor="page" w:x="7170" w:y="904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Л.Ю.Соколова</w:t>
      </w:r>
    </w:p>
    <w:p>
      <w:pPr>
        <w:pStyle w:val="Style5"/>
        <w:framePr w:w="9754" w:h="286" w:hRule="exact" w:wrap="none" w:vAnchor="page" w:hAnchor="page" w:x="1103" w:y="14927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Республика Дагестан 2024</w:t>
      </w:r>
    </w:p>
    <w:p>
      <w:pPr>
        <w:pStyle w:val="Style8"/>
        <w:framePr w:wrap="none" w:vAnchor="page" w:hAnchor="page" w:x="6033" w:y="15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framePr w:w="9754" w:h="378" w:hRule="exact" w:wrap="none" w:vAnchor="page" w:hAnchor="page" w:x="1103" w:y="869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0" w:right="24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СОДЕРЖАНИЕ</w:t>
      </w:r>
      <w:bookmarkEnd w:id="2"/>
    </w:p>
    <w:p>
      <w:pPr>
        <w:pStyle w:val="Style13"/>
        <w:framePr w:w="9754" w:h="1022" w:hRule="exact" w:wrap="none" w:vAnchor="page" w:hAnchor="page" w:x="1103" w:y="1703"/>
        <w:tabs>
          <w:tab w:leader="dot" w:pos="915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hyperlink w:anchor="bookmark3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ВЫЯВЛЕННЫЕ НЕДОСТАТКИ</w:t>
          <w:tab/>
          <w:t>3</w:t>
        </w:r>
      </w:hyperlink>
    </w:p>
    <w:p>
      <w:pPr>
        <w:pStyle w:val="Style13"/>
        <w:framePr w:w="9754" w:h="1022" w:hRule="exact" w:wrap="none" w:vAnchor="page" w:hAnchor="page" w:x="1103" w:y="1703"/>
        <w:tabs>
          <w:tab w:leader="dot" w:pos="91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hyperlink w:anchor="bookmark5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РЕКОМЕНДАЦИИ ПО СОВЕРШЕНСТВОВАНИЮ ДЕЯТЕЛЬНОСТИ</w:t>
        </w:r>
      </w:hyperlink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</w:t>
      </w:r>
      <w:hyperlink w:anchor="bookmark5" w:tooltip="Current Document">
        <w:r>
          <w:rPr>
            <w:lang w:val="ru-RU" w:eastAsia="ru-RU" w:bidi="ru-RU"/>
            <w:w w:val="100"/>
            <w:spacing w:val="0"/>
            <w:color w:val="000000"/>
            <w:position w:val="0"/>
          </w:rPr>
          <w:t>ОРГАНИЗАЦИЙ</w:t>
          <w:tab/>
          <w:t>4</w:t>
        </w:r>
      </w:hyperlink>
    </w:p>
    <w:p>
      <w:pPr>
        <w:pStyle w:val="Style8"/>
        <w:framePr w:wrap="none" w:vAnchor="page" w:hAnchor="page" w:x="6009" w:y="15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framePr w:w="9974" w:h="378" w:hRule="exact" w:wrap="none" w:vAnchor="page" w:hAnchor="page" w:x="1103" w:y="869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0" w:right="0" w:firstLine="0"/>
      </w:pPr>
      <w:bookmarkStart w:id="3" w:name="bookmark3"/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ВЫЯВЛЕННЫЕ НЕДОСТАТКИ</w:t>
      </w:r>
      <w:bookmarkEnd w:id="3"/>
      <w:bookmarkEnd w:id="4"/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проведённой оценки, были выявлены основные недостатки образовательных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Большинство из них связано с отсутствием тех или иных условий для инвалидов, а именно: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возможности предоставления инвалидам по слуху (слуху и зрению) услуг сурдопереводчика (тифлосурдопереводчика) - в 97%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сменных кресел-колясок - в 89%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дублирования для инвалидов по слуху и зрению звуковой и зрительной информации - в 87%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выделенных стоянок для автотранспортных средств инвалидов - в 87%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адаптированных лифтов, поручней, расширенных дверных проемов - в 85% организаций.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дублирования надписей, знаков и иной текстовой и графической информации знаками, выполненными рельефно-точечным шрифтом Брайля.</w:t>
      </w:r>
    </w:p>
    <w:p>
      <w:pPr>
        <w:pStyle w:val="Style13"/>
        <w:framePr w:w="9974" w:h="5534" w:hRule="exact" w:wrap="none" w:vAnchor="page" w:hAnchor="page" w:x="1103" w:y="17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60"/>
      </w:pPr>
      <w:bookmarkStart w:id="5" w:name="bookmark5"/>
      <w:r>
        <w:rPr>
          <w:lang w:val="ru-RU" w:eastAsia="ru-RU" w:bidi="ru-RU"/>
          <w:w w:val="100"/>
          <w:spacing w:val="0"/>
          <w:color w:val="000000"/>
          <w:position w:val="0"/>
        </w:rPr>
        <w:t>Отсутствие оборудованных санитарно-гигиенических помещений - в 66% организаций.</w:t>
      </w:r>
      <w:bookmarkEnd w:id="5"/>
    </w:p>
    <w:p>
      <w:pPr>
        <w:pStyle w:val="Style8"/>
        <w:framePr w:wrap="none" w:vAnchor="page" w:hAnchor="page" w:x="6013" w:y="15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framePr w:w="15144" w:h="400" w:hRule="exact" w:wrap="none" w:vAnchor="page" w:hAnchor="page" w:x="851" w:y="1122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0" w:right="0" w:firstLine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РЕКОМЕНДАЦИИ ПО СОВЕРШЕНСТВОВАНИЮ ДЕЯТЕЛЬНОСТИ ОРГАНИЗАЦИЙ</w:t>
      </w:r>
      <w:bookmarkEnd w:id="6"/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1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Наименование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Недостатки в части открытости и доступности информации об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Недостатки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комфортности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условий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осуществления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образовательной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Недостатки доступности для инвалидов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Недостатки доброжелательности и вежливости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Недостатки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удовлетворённости</w:t>
            </w: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РД «Технический колледж имени Р.Н.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Ашуралиева»(ГО</w:t>
            </w:r>
          </w:p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«Профессиональн о-педагогический колледж»(ГОО)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58" w:wrap="none" w:vAnchor="page" w:hAnchor="page" w:x="851" w:y="168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33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строительства и дизайна»(ГОО)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машиностроения и сервиса им. С.Орджоникидзе» 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«Каспийский профессионально</w:t>
              <w:softHyphen/>
              <w:t>педагогический колледж»(ГОО)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Уделять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344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«Профессиональн о-педагогический колледж имени Расула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Гамзатова»(ГОО)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экономики и предпринимательс тва»(ГОО)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3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народных промыслов и туризма»(ГОО)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«Дербентский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профессионально -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педагогический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колледж им. Г.Б.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Казиахмедова»(Г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экономики и права»(ГОО)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3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инновационных технологий»(ГОО)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«Колледж сферы услуг»(ГОО)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44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«Профессиональн о -педагогический колледж имени З.Н.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Батырмурзаева»(Г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«Кизлярский профессионально</w:t>
              <w:softHyphen/>
              <w:t>педагогический колледж»(ГОО)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«Электромеханиче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колледж»(ГОО)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3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«Индустриально</w:t>
              <w:softHyphen/>
              <w:t>промышленный колледж»(ГОО)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«Профессиональн о -педагогический колледж имени М.М.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Меджидова»(ГОО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5"/>
              </w:rPr>
              <w:t>ГБУ ДПО РД "Дагестанский институт развития образования"(ГОО 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"Бабаюртовская средняя школа- интернат №11"(ГОО)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"Бавтугайская специализированн ая школа-интернат им. М.Г.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Гамзатова"(ГОО)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"Буйнакская средняя школа- интернат №3"(ГОО)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"Буйнакская санаторная школа-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интернат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№7”(ГОО)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"Общеобразовател ьная средняя школа-интернат №6" 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"Государственная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общеобразователь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ная школа-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интернат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№2"(ГОО)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"Государственная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гимназия-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интернат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музыкально-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хореографическог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 образования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г.Каспийска"(ГОО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"Кизлярская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гимназия-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интернат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"Культура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мира"(ГОО)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"Кочубейская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средняя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общеобразователь ная школа- интернат"(ГОО)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ГКОУ РД "Курминская средняя школа- интернат"(ГОО)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"Хасавюртовская школа-интернат №9"(ГОО)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"Общеобразовател ьная школа-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интернат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60" w:line="190" w:lineRule="exact"/>
              <w:ind w:left="0" w:right="0" w:firstLine="0"/>
            </w:pPr>
            <w:r>
              <w:rPr>
                <w:rStyle w:val="CharStyle15"/>
              </w:rPr>
              <w:t>с.Черняевка"(ГОО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организации и расписание занятий.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"Общеобразовател ьная спортивная школа-интернат "Пять сторон света"(ГОО)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"Спортшкола-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интернат"(ГОО)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ГБОУ РД "Республиканский многопрофильный лицей-интернат для одаренных детей" 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"Республиканская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специальная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(коррекционная) школа-интернат VIII вида"(ГОО)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ГБОУ РД "Республиканский центр социально</w:t>
              <w:softHyphen/>
              <w:t>трудовой адаптации и профориентации им.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У.М.Муртузалиев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ой"(ГОО)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ГКОУ РД "Карабудахкентск ая специальная (коррекционная) общеобразователь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301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ная школа- интернат"(ГОО)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ГБОУ РД "Республиканский лицей-интернат "Центр одаренных детей"(ГОО)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«Махачкалинское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музыкальное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училище им.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Готфрида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Гасанова»(ГОО)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«Дагестанский колледж культуры и искусства им. Барият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Мурадовой»(ГОО)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«Дагестанское художественное училище им. М. А. Джемала»(ГОО)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специально оборудованных санитарно-гигиенических помещений.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«Дербентское музыкальное училище им. Д.Ш. Ашурова»(ГОО)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"Дагестанский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базовый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медицинский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колледж им.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Р.П.Аскерханова"(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"Буйнакское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медицинское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училище"(ГОО)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"Каспийское медицинское училище им.Азиза Алиева"(ГОО)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"Дербентский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медицинский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колледж имени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Г.А.Илизарова"(Г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Возможность представления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сурдопереводчика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ГБПОУ РД "Кизлярское медицинское училище"(ГОО)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ГБУ ДПО РД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"Дагестанское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медицинское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училище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повышения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квалификации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работников со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средним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медицинским и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фармацевтически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образованием"(ГО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 "Арсугская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СОШ"(Агульский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"Бедюкская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СОШ"(Агульский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"Буркиханская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СОШ"(Агульский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5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5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 "Гоинская СОШ"(Агульский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"Дулдугская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СОШ"(Агульский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"Хутхульская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СОШ"(Агульский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МКДОУ «Детский сад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«Солнышко»(Агул ьский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МКДОУ «Детский сад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«Радуга»(Агульск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МКДОУ «Детский сад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«Белоснежка»(Агу льский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МКУ ДОД «Детская школа искусств»(Агульс 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МБОУ" Акушинская СОШ№1 им С.М.Кирова"(Аку шинский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 xml:space="preserve">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«Акушинская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СОШ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№°3»(Акушинский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"Гапшиминская СОШ им Гасанова М.А."(Акушински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МКОУ "Гебинская СОШ им. Абакарова Г.А."(Акушинский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МБОУ "Каршинская СОШ"(Акушинск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МБОУ "Мугинская гимназия им С.К.Курбанова"(А кушинский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"Мугинский лицей им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С.Н.Абдуллаева"(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Акушинский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5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5"/>
                <w:lang w:val="en-US" w:eastAsia="en-US" w:bidi="en-US"/>
              </w:rPr>
              <w:t>AQ15</w:t>
            </w:r>
          </w:p>
        </w:tc>
      </w:tr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"Семгамахинская СОШ"(Акушинск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5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5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"Урхучимахинска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"Усишинский многопрофильный лицей" 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"Усишинская СОШ№2"(Акуши некий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"Усишинская СОШ№3"(Акуши нский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"Цугнинская СОШ им. Гаджимурадова М.М." (Акушински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"Шуктынская СОШ"(Акушинск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 "Куркинская оОш"(Акушинск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"Чинимахинская ООШ"(Акушинск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«Цунимахинская ООШ»(Акушинск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'Тапшиминский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детский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сад" (Акушинский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«Каратинская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СОШ»(Ахвахский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«Ингердахская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СОШ»(Ахвахский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«Лологонитлинска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СОШ»(Ахвахский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«Изанинская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СОШ»(Ахвахский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«Цолодинская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СОШ»(Ахвахский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МБУДО «Ахвахская районная станция юных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туристов»(Ахвахс 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МБДОУ «Тлибишинский детский сад «Соколенок»(Ахва 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МБДОУ «Каратинский детский сад «Солнышко»(Ахва 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МБДОУ «Каратинский детский сад «Улыбка»(Ахвахс 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"Геметюбинская СОШ"(Бабаюртов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''Герменчикская СОШ"(Бабаюртов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"Люксембургский АТЛ им. М.И. Шихсаидова(Баба юртовский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"Татаюртовская СОШ"(Бабаюртов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"Тюпкутанская СОШ"(Бабаюртов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"Хамаматюртовск ая СОШ № 1 им. Р.Я.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Бекишева"(Бабаю ртовский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"Хамаматюртовск ая СОШ № 2 им. З.Х.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Хизриева" (Бабаюр товский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Прогимназия "Орленок", с. Бабаюрт(Бабаюрт 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МКУ ДО "Дом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детского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творчества"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Бабаюртвоского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район(Бабаюртовс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взаимодействий на официальном сайте организации: Налич ие анкеты для опроса граждан или гиперссылки на нее;Улучшить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МКДОУ "Солнышко", с. Бабаюрт(Бабаюрт 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МКДОУ "Буратино", с. Уцмиюрт(Бабаюрт овский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"Ботлихская СОШ №2 "(Ботлихский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"Ботлихская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№°3"(Ботлихский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 "Алакский лицей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"(Ботлихский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"Андийская СОШ №1 имени Халида Шаврухановича Мухтарова"(Ботли 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"Годоберинская СОШ имени братьев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Магомедтагира Юнусовича и Лабазана Юнусовича Муминовых"(Ботл 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"Мунинская СОШ имени Магомеда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7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49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Хамдулаевича Ахмедудинова"(Б 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"Хелетуринская СОШ"(Ботлихски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"Шодродинская СОШ имени Абдулы Алиевича Хамидова"(Ботлих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"Кижанинская ООШ"(Ботлихски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 '' Шивортинская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НОШ"(Ботлихски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 "Детский сад "Чебурашка" с.Ботлих МР Ботлихский район(Ботлихский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 "Детский сад "Аист" с.Ансалта МР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Ботлихский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район(Ботлихский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и расписание занятий.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 "Детский сад "Журавлик" с.Шодрода МР Ботлихский район(Ботлихский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 "Детский сад "Светлячок" с.Анди МР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Ботлихский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район(Ботлихский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МКДОУ "Детский сад "Ромашка" с.Алак МР Ботлихский район(Ботлихский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МКДОУ "Детский сад "Звездочка"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с.Тандо МР Ботлихский район(Ботлихский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МКУДО "Ботлихская районнная детско</w:t>
              <w:softHyphen/>
              <w:t>юношеская спортивная школа"(Ботлихски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«Атланаульская гимназия»(Буйнак 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«Бугленская СОШ им. Ш.И.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Шихсаидова»(Буй 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 «В- Дженгутайская СОШ»(Буйнакски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 «Н- Дженгутайская СОШ»(Буйнакски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многопрофильный лицей»(Буйнакски 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№°2»(Буйнакский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5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Уделять внимание обучающимся и их сопровождающим, имеющим инвалидность либо ограниченные возможности здоровья.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59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6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проёмов.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69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№°3»(Буйнакскнй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требованиями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нормативных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правовых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актов.Разместить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дополнительные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способы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дистанционных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взаимодействий на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организации:Электр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онные сервисы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Наличие анкеты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опроса граждан или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информацию на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официальном сайте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соответствие с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актов.Разместить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дополнительные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способы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8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 на официальном сайте организации: Налич 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79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Возможность представления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7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89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Разместить дополнительные способы дистанционных взаимодействий на официальном сайте организации: Налич ие анкеты для опроса граждан или гиперссылки на нее;Улучшить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Разместить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дополнительные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82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99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8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60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109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5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129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139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149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8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и расписание занятий.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159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дополнительные способы дистанционных взаимодействий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169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5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179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8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189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5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5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3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199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6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 Налич 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дополнительные способы дистанционных взаимодействий на официальном сайте организации: Налич 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209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Возможность представления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229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и расписание занятий.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239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6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249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9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259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269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279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289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9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5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299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информацию на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официальном сайте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соответствие с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актов.Разместить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дополнительные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способы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 на официальном сайте организации:Электр онные сервисы Наличие анкеты для опроса граждан или гиперссылки на нее;Улучшить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61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309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Возможность представления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319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№°4»(Буйнакскнй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438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329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8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информации. Дублирование рельефно</w:t>
              <w:softHyphen/>
              <w:t>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24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7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4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339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№3»(Буйнакский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23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специально оборудованных санитарно-гигиенических помещений.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№°4»(Буйнакскнй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40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0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условий для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5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учебной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актов.Разместить дополнительные способы дистанционных взаимодействий на официальном сайте организации:Электр онные сервисы Наличие анкеты для опроса граждан или гиперссылки на нее;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54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349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1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8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39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8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48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«Нижнеказанищен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Выявлять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потребности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16"/>
              </w:rPr>
              <w:t>Проводить опросы и иную работу с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ская СОШ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официальном сайте организации в соответствие с 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17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сменных кресел- колясок. Обеспечить условия доступности, позволяющие инвалидам получать услуги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13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требованиями нормативных правовых актов.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кресел-колясок.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 Возможность сопровождения работниками организации, прошедшими обучение/инструктирование.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0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358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0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  <w:tr>
        <w:trPr>
          <w:trHeight w:val="23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 родителями (законными представителями)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359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27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16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 Проводить опросы и иную работу с учениками и их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3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5144" w:h="9470" w:wrap="none" w:vAnchor="page" w:hAnchor="page" w:x="851" w:y="113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выделенных стоянок для автотранспортных средств инвалидов. Наличие сменных кресел-колясок. Наличие специально оборудованных санитарно</w:t>
              <w:softHyphen/>
              <w:t>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№°4»(Буйнакский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7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Пересмотреть график работы организации и расписание занятий.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362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16"/>
              </w:rPr>
              <w:t>№°3»(Буйнакский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0" w:right="0" w:firstLine="0"/>
            </w:pPr>
            <w:r>
              <w:rPr>
                <w:rStyle w:val="CharStyle16"/>
              </w:rPr>
              <w:t>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23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4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50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364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Обеспечить условия доступности, позволяющие инвалидам получать услуги наравне с другими: Дублирование звуковой и зрительной информации.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439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гимназия имени Абусуфьяна Акаева»(Буйнакск 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6"/>
              </w:rPr>
              <w:t>Замечаний нет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461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365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843"/>
        <w:gridCol w:w="1987"/>
        <w:gridCol w:w="1699"/>
        <w:gridCol w:w="3970"/>
        <w:gridCol w:w="3653"/>
        <w:gridCol w:w="1992"/>
      </w:tblGrid>
      <w:tr>
        <w:trPr>
          <w:trHeight w:val="50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МБОУ</w:t>
            </w:r>
          </w:p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№°3»(Буйнакский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стендов, разместить информационные блоки, интересные для обучающихся и их родителей. 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Наличие специально оборудованных санитарно-гигиенических помещений.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</w:t>
              <w:softHyphen/>
              <w:t>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Проводить тренинги по формированию субъект-субъектных отношений участников образовательного процесса, работать с проблемой профессионального выгорания педагогов.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  <w:tr>
        <w:trPr>
          <w:trHeight w:val="393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МКОУ</w:t>
            </w:r>
          </w:p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«Нижнеказанищен ская СОШ №4»(Буйнакский район)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Привести информацию на официальном сайте организации в соответствие с требованиями нормативных правовых актов.Улучшить дизайн и навигацию сайта, разместить информационные блоки, интересные для обучающихся и их родителей.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Выявлять потребности обучающихся и их родителей в части создания комфортных условий для учебной деятельности.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6"/>
              </w:rPr>
              <w:t>Обеспечить оборудование территории и помещений с учетом доступности для инвалидов: Наличие оборудованных входных групп пандусами/подъемными платформами. Наличие выделенных стоянок для автотранспортных средств инвалидов. Наличие адаптированных лифтов, поручней, расширенных дверных проёмов. Наличие сменных кресел- колясок. Обеспечить условия доступности, позволяющие инвалидам получать услуги наравне с другими: Дублирование звуковой и зрительной информации. Дублирование рельефно-точечным шрифтом Брайля. Возможность представления сурдопереводчика (тифлосурдопереводчика).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>Обеспечить доброжелательность и вежливость работников, осуществляющих первичный контакт и информирование (секретариат, охрана и пр.). Совершенствовать качество дистанционных взаимодействий: своевременные ответы на письма и электронные сообщения, корректность и вежливость ответов.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3"/>
              <w:framePr w:w="15144" w:h="9000" w:wrap="none" w:vAnchor="page" w:hAnchor="page" w:x="851" w:y="113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16"/>
              </w:rPr>
              <w:t xml:space="preserve">Пересмотреть график работы организации и расписание занятий. Проводить опросы и иную работу с учениками и их родителями (законными представителями) по выявлению образовательных потребностей, определению и устранению причин недовольства. </w:t>
            </w:r>
            <w:r>
              <w:rPr>
                <w:rStyle w:val="CharStyle16"/>
                <w:lang w:val="en-US" w:eastAsia="en-US" w:bidi="en-US"/>
              </w:rPr>
              <w:t>AQ15</w:t>
            </w:r>
          </w:p>
        </w:tc>
      </w:tr>
    </w:tbl>
    <w:p>
      <w:pPr>
        <w:pStyle w:val="Style8"/>
        <w:framePr w:wrap="none" w:vAnchor="page" w:hAnchor="page" w:x="8219" w:y="109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0"/>
        </w:rPr>
        <w:t>366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framePr w:wrap="none" w:vAnchor="page" w:hAnchor="page" w:x="5892" w:y="15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7"/>
        </w:rPr>
        <w:t>367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framePr w:wrap="none" w:vAnchor="page" w:hAnchor="page" w:x="5895" w:y="15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7"/>
        </w:rPr>
        <w:t>368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Заголовок №2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6">
    <w:name w:val="Основной текст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7">
    <w:name w:val="Основной текст (3) + Полужирный"/>
    <w:basedOn w:val="CharStyle6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9">
    <w:name w:val="Колонтитул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0">
    <w:name w:val="Колонтитул"/>
    <w:basedOn w:val="CharStyle9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">
    <w:name w:val="Заголовок №1_"/>
    <w:basedOn w:val="DefaultParagraphFont"/>
    <w:link w:val="Style11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14">
    <w:name w:val="Основной текст (2)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5">
    <w:name w:val="Основной текст (2) + 9,5 pt"/>
    <w:basedOn w:val="CharStyle1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16">
    <w:name w:val="Основной текст (2) + 9,5 pt"/>
    <w:basedOn w:val="CharStyle1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17">
    <w:name w:val="Основной текст (3)"/>
    <w:basedOn w:val="CharStyle6"/>
    <w:rPr>
      <w:lang w:val="ru-RU" w:eastAsia="ru-RU" w:bidi="ru-RU"/>
      <w:w w:val="100"/>
      <w:spacing w:val="0"/>
      <w:color w:val="000000"/>
      <w:position w:val="0"/>
    </w:rPr>
  </w:style>
  <w:style w:type="paragraph" w:customStyle="1" w:styleId="Style3">
    <w:name w:val="Заголовок №2"/>
    <w:basedOn w:val="Normal"/>
    <w:link w:val="CharStyle4"/>
    <w:pPr>
      <w:widowControl w:val="0"/>
      <w:shd w:val="clear" w:color="auto" w:fill="FFFFFF"/>
      <w:outlineLvl w:val="1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spacing w:after="480" w:line="278" w:lineRule="exact"/>
      <w:ind w:hanging="174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8">
    <w:name w:val="Колонтитул"/>
    <w:basedOn w:val="Normal"/>
    <w:link w:val="CharStyle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1">
    <w:name w:val="Заголовок №1"/>
    <w:basedOn w:val="Normal"/>
    <w:link w:val="CharStyle12"/>
    <w:pPr>
      <w:widowControl w:val="0"/>
      <w:shd w:val="clear" w:color="auto" w:fill="FFFFFF"/>
      <w:jc w:val="center"/>
      <w:outlineLvl w:val="0"/>
      <w:spacing w:after="60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13">
    <w:name w:val="Основной текст (2)"/>
    <w:basedOn w:val="Normal"/>
    <w:link w:val="CharStyle14"/>
    <w:pPr>
      <w:widowControl w:val="0"/>
      <w:shd w:val="clear" w:color="auto" w:fill="FFFFFF"/>
      <w:jc w:val="both"/>
      <w:spacing w:before="600" w:line="32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